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B7426" w14:textId="27C63563" w:rsidR="009C495D" w:rsidRPr="00B4296B" w:rsidRDefault="009C495D" w:rsidP="009C495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4296B">
        <w:rPr>
          <w:rFonts w:ascii="Arial" w:hAnsi="Arial" w:cs="Arial"/>
          <w:b/>
          <w:bCs/>
          <w:sz w:val="24"/>
          <w:szCs w:val="24"/>
        </w:rPr>
        <w:t>Electric Vehicle Charging Rate Q/As</w:t>
      </w:r>
      <w:r w:rsidR="00E3682A">
        <w:rPr>
          <w:rFonts w:ascii="Arial" w:hAnsi="Arial" w:cs="Arial"/>
          <w:b/>
          <w:bCs/>
          <w:sz w:val="24"/>
          <w:szCs w:val="24"/>
        </w:rPr>
        <w:t xml:space="preserve"> for Electricity Distributors</w:t>
      </w:r>
      <w:r w:rsidRPr="00B4296B">
        <w:rPr>
          <w:rFonts w:ascii="Arial" w:hAnsi="Arial" w:cs="Arial"/>
          <w:b/>
          <w:bCs/>
          <w:sz w:val="24"/>
          <w:szCs w:val="24"/>
        </w:rPr>
        <w:t>:</w:t>
      </w:r>
    </w:p>
    <w:p w14:paraId="3C47AF15" w14:textId="07CB3CEA" w:rsidR="009C495D" w:rsidRDefault="009C495D" w:rsidP="009C495D">
      <w:pPr>
        <w:jc w:val="center"/>
        <w:rPr>
          <w:rFonts w:ascii="Arial" w:hAnsi="Arial" w:cs="Arial"/>
        </w:rPr>
      </w:pPr>
      <w:r w:rsidRPr="00F11628">
        <w:rPr>
          <w:rFonts w:ascii="Arial" w:hAnsi="Arial" w:cs="Arial"/>
          <w:sz w:val="24"/>
          <w:szCs w:val="24"/>
        </w:rPr>
        <w:t xml:space="preserve">(Updated </w:t>
      </w:r>
      <w:r w:rsidR="008B04BA">
        <w:rPr>
          <w:rFonts w:ascii="Arial" w:hAnsi="Arial" w:cs="Arial"/>
          <w:sz w:val="24"/>
          <w:szCs w:val="24"/>
        </w:rPr>
        <w:t>Sept. 11</w:t>
      </w:r>
      <w:r w:rsidRPr="00F11628">
        <w:rPr>
          <w:rFonts w:ascii="Arial" w:hAnsi="Arial" w:cs="Arial"/>
          <w:sz w:val="24"/>
          <w:szCs w:val="24"/>
        </w:rPr>
        <w:t>, 2025)</w:t>
      </w:r>
    </w:p>
    <w:p w14:paraId="28FC863F" w14:textId="77777777" w:rsidR="009C495D" w:rsidRDefault="009C495D">
      <w:pPr>
        <w:rPr>
          <w:rFonts w:ascii="Arial" w:hAnsi="Arial" w:cs="Arial"/>
        </w:rPr>
      </w:pPr>
    </w:p>
    <w:p w14:paraId="49E67709" w14:textId="7705B72A" w:rsidR="009C495D" w:rsidRPr="009C495D" w:rsidRDefault="009C495D">
      <w:pPr>
        <w:rPr>
          <w:rFonts w:ascii="Arial" w:hAnsi="Arial" w:cs="Arial"/>
          <w:u w:val="single"/>
        </w:rPr>
      </w:pPr>
      <w:r w:rsidRPr="009C495D">
        <w:rPr>
          <w:rFonts w:ascii="Arial" w:hAnsi="Arial" w:cs="Arial"/>
          <w:u w:val="single"/>
        </w:rPr>
        <w:t>Questions and Answers:</w:t>
      </w:r>
    </w:p>
    <w:p w14:paraId="7155B5CC" w14:textId="0A1C4601" w:rsidR="009C495D" w:rsidRPr="00F85CEE" w:rsidRDefault="00F85CEE">
      <w:pPr>
        <w:rPr>
          <w:rFonts w:ascii="Arial" w:hAnsi="Arial" w:cs="Arial"/>
          <w:b/>
          <w:bCs/>
        </w:rPr>
      </w:pPr>
      <w:r w:rsidRPr="00F85CEE">
        <w:rPr>
          <w:rFonts w:ascii="Arial" w:hAnsi="Arial" w:cs="Arial"/>
          <w:b/>
          <w:bCs/>
        </w:rPr>
        <w:t>What is the Electric Vehicle Charging (EVC) Rate?</w:t>
      </w:r>
    </w:p>
    <w:p w14:paraId="7DEDAD1C" w14:textId="1AB18495" w:rsidR="009C495D" w:rsidRDefault="00F85CEE" w:rsidP="00255074">
      <w:pPr>
        <w:rPr>
          <w:rFonts w:ascii="Arial" w:hAnsi="Arial" w:cs="Arial"/>
        </w:rPr>
      </w:pPr>
      <w:r w:rsidRPr="00F85CEE">
        <w:rPr>
          <w:rFonts w:ascii="Arial" w:hAnsi="Arial" w:cs="Arial"/>
        </w:rPr>
        <w:t>The EVC Rate is a</w:t>
      </w:r>
      <w:r w:rsidR="00292AD7">
        <w:rPr>
          <w:rFonts w:ascii="Arial" w:hAnsi="Arial" w:cs="Arial"/>
        </w:rPr>
        <w:t>n</w:t>
      </w:r>
      <w:r w:rsidRPr="00F85CEE">
        <w:rPr>
          <w:rFonts w:ascii="Arial" w:hAnsi="Arial" w:cs="Arial"/>
        </w:rPr>
        <w:t xml:space="preserve"> electricity delivery rate designed </w:t>
      </w:r>
      <w:r w:rsidR="00292AD7">
        <w:rPr>
          <w:rFonts w:ascii="Arial" w:hAnsi="Arial" w:cs="Arial"/>
        </w:rPr>
        <w:t xml:space="preserve">specifically </w:t>
      </w:r>
      <w:r w:rsidRPr="00F85CEE">
        <w:rPr>
          <w:rFonts w:ascii="Arial" w:hAnsi="Arial" w:cs="Arial"/>
        </w:rPr>
        <w:t xml:space="preserve">for eligible </w:t>
      </w:r>
      <w:r>
        <w:rPr>
          <w:rFonts w:ascii="Arial" w:hAnsi="Arial" w:cs="Arial"/>
        </w:rPr>
        <w:t>e</w:t>
      </w:r>
      <w:r w:rsidRPr="00F85CEE">
        <w:rPr>
          <w:rFonts w:ascii="Arial" w:hAnsi="Arial" w:cs="Arial"/>
        </w:rPr>
        <w:t xml:space="preserve">lectric </w:t>
      </w:r>
      <w:r>
        <w:rPr>
          <w:rFonts w:ascii="Arial" w:hAnsi="Arial" w:cs="Arial"/>
        </w:rPr>
        <w:t>v</w:t>
      </w:r>
      <w:r w:rsidRPr="00F85CEE">
        <w:rPr>
          <w:rFonts w:ascii="Arial" w:hAnsi="Arial" w:cs="Arial"/>
        </w:rPr>
        <w:t>ehicle (EV) charging stations in Ontario</w:t>
      </w:r>
      <w:r w:rsidR="00292AD7" w:rsidRPr="00292AD7">
        <w:t xml:space="preserve"> </w:t>
      </w:r>
      <w:r w:rsidR="00292AD7" w:rsidRPr="00292AD7">
        <w:rPr>
          <w:rFonts w:ascii="Arial" w:hAnsi="Arial" w:cs="Arial"/>
        </w:rPr>
        <w:t>to better reflect the transmission costs of serving EV chargers with low load factors.</w:t>
      </w:r>
      <w:r w:rsidRPr="00F85CEE">
        <w:rPr>
          <w:rFonts w:ascii="Arial" w:hAnsi="Arial" w:cs="Arial"/>
        </w:rPr>
        <w:t xml:space="preserve"> It reduces the Retail Transmission Service Rates </w:t>
      </w:r>
      <w:r w:rsidR="00292AD7">
        <w:rPr>
          <w:rFonts w:ascii="Arial" w:hAnsi="Arial" w:cs="Arial"/>
        </w:rPr>
        <w:t xml:space="preserve">paid by </w:t>
      </w:r>
      <w:r w:rsidRPr="00F85CEE">
        <w:rPr>
          <w:rFonts w:ascii="Arial" w:hAnsi="Arial" w:cs="Arial"/>
        </w:rPr>
        <w:t>participating EV charging stations</w:t>
      </w:r>
      <w:r w:rsidR="00292AD7">
        <w:rPr>
          <w:rFonts w:ascii="Arial" w:hAnsi="Arial" w:cs="Arial"/>
        </w:rPr>
        <w:t xml:space="preserve">. </w:t>
      </w:r>
    </w:p>
    <w:p w14:paraId="07ED4E86" w14:textId="77777777" w:rsidR="001F6E83" w:rsidRDefault="001F6E83" w:rsidP="001F6E83">
      <w:pPr>
        <w:rPr>
          <w:rFonts w:ascii="Arial" w:hAnsi="Arial" w:cs="Arial"/>
          <w:b/>
          <w:bCs/>
        </w:rPr>
      </w:pPr>
      <w:r w:rsidRPr="00F85CEE">
        <w:rPr>
          <w:rFonts w:ascii="Arial" w:hAnsi="Arial" w:cs="Arial"/>
          <w:b/>
          <w:bCs/>
        </w:rPr>
        <w:t>Who is eligible for the EVC Rate?</w:t>
      </w:r>
    </w:p>
    <w:p w14:paraId="35EA0F19" w14:textId="483D5801" w:rsidR="001F6E83" w:rsidRDefault="001F6E83" w:rsidP="001F6E83">
      <w:pPr>
        <w:rPr>
          <w:rFonts w:ascii="Arial" w:hAnsi="Arial" w:cs="Arial"/>
        </w:rPr>
      </w:pPr>
      <w:r w:rsidRPr="00F85CEE">
        <w:rPr>
          <w:rFonts w:ascii="Arial" w:hAnsi="Arial" w:cs="Arial"/>
        </w:rPr>
        <w:t xml:space="preserve">EV charging stations must meet </w:t>
      </w:r>
      <w:r w:rsidR="00292AD7">
        <w:rPr>
          <w:rFonts w:ascii="Arial" w:hAnsi="Arial" w:cs="Arial"/>
        </w:rPr>
        <w:t>all</w:t>
      </w:r>
      <w:r w:rsidRPr="00F85CEE">
        <w:rPr>
          <w:rFonts w:ascii="Arial" w:hAnsi="Arial" w:cs="Arial"/>
        </w:rPr>
        <w:t xml:space="preserve"> the following criteria to participate in the EVC Rate: </w:t>
      </w:r>
    </w:p>
    <w:p w14:paraId="6F51F032" w14:textId="77777777" w:rsidR="001F6E83" w:rsidRDefault="001F6E83" w:rsidP="001F6E8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Have at least one Direct Current Fast Charger,</w:t>
      </w:r>
    </w:p>
    <w:p w14:paraId="35789E42" w14:textId="7B43B937" w:rsidR="001F6E83" w:rsidRDefault="00292AD7" w:rsidP="001F6E8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Ensure that </w:t>
      </w:r>
      <w:r w:rsidR="00241FB0">
        <w:rPr>
          <w:rFonts w:ascii="Arial" w:hAnsi="Arial" w:cs="Arial"/>
        </w:rPr>
        <w:t>a</w:t>
      </w:r>
      <w:r w:rsidR="001F6E83">
        <w:rPr>
          <w:rFonts w:ascii="Arial" w:hAnsi="Arial" w:cs="Arial"/>
        </w:rPr>
        <w:t xml:space="preserve">t least 90% of total monthly peak demand </w:t>
      </w:r>
      <w:r>
        <w:rPr>
          <w:rFonts w:ascii="Arial" w:hAnsi="Arial" w:cs="Arial"/>
        </w:rPr>
        <w:t>is attributable to</w:t>
      </w:r>
      <w:r w:rsidR="001F6E83">
        <w:rPr>
          <w:rFonts w:ascii="Arial" w:hAnsi="Arial" w:cs="Arial"/>
        </w:rPr>
        <w:t xml:space="preserve"> EV charging,</w:t>
      </w:r>
    </w:p>
    <w:p w14:paraId="6F5C199F" w14:textId="075E876D" w:rsidR="001F6E83" w:rsidRDefault="008B04BA" w:rsidP="001F6E8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Have</w:t>
      </w:r>
      <w:proofErr w:type="gramEnd"/>
      <w:r>
        <w:rPr>
          <w:rFonts w:ascii="Arial" w:hAnsi="Arial" w:cs="Arial"/>
        </w:rPr>
        <w:t xml:space="preserve"> </w:t>
      </w:r>
      <w:r w:rsidR="00292AD7">
        <w:rPr>
          <w:rFonts w:ascii="Arial" w:hAnsi="Arial" w:cs="Arial"/>
        </w:rPr>
        <w:t>a m</w:t>
      </w:r>
      <w:r w:rsidR="001F6E83">
        <w:rPr>
          <w:rFonts w:ascii="Arial" w:hAnsi="Arial" w:cs="Arial"/>
        </w:rPr>
        <w:t>onthly peak demand between 50 kW and 4,999 kW,</w:t>
      </w:r>
    </w:p>
    <w:p w14:paraId="3B4FEC30" w14:textId="05DCE50F" w:rsidR="001F6E83" w:rsidRDefault="00292AD7" w:rsidP="001F6E8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Have a </w:t>
      </w:r>
      <w:r w:rsidR="001F6E83">
        <w:rPr>
          <w:rFonts w:ascii="Arial" w:hAnsi="Arial" w:cs="Arial"/>
        </w:rPr>
        <w:t xml:space="preserve">12-month average load factor </w:t>
      </w:r>
      <w:r w:rsidR="00241FB0">
        <w:rPr>
          <w:rFonts w:ascii="Arial" w:hAnsi="Arial" w:cs="Arial"/>
        </w:rPr>
        <w:t>of</w:t>
      </w:r>
      <w:r w:rsidR="001F6E83">
        <w:rPr>
          <w:rFonts w:ascii="Arial" w:hAnsi="Arial" w:cs="Arial"/>
        </w:rPr>
        <w:t xml:space="preserve"> 20% or less,</w:t>
      </w:r>
    </w:p>
    <w:p w14:paraId="1A7F9C59" w14:textId="05B2041B" w:rsidR="00BE39A8" w:rsidRDefault="001F6E83" w:rsidP="001F6E8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Must not primarily serve commercial/public sector EV fleets, and</w:t>
      </w:r>
    </w:p>
    <w:p w14:paraId="1CE7F13E" w14:textId="11A42716" w:rsidR="001F6E83" w:rsidRPr="0020415A" w:rsidRDefault="001F6E83" w:rsidP="0020415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0415A">
        <w:rPr>
          <w:rFonts w:ascii="Arial" w:hAnsi="Arial" w:cs="Arial"/>
        </w:rPr>
        <w:t>Any distributed energy resource behind the account’s meter must not exceed the station’s annual peak demand.</w:t>
      </w:r>
    </w:p>
    <w:p w14:paraId="5630E9D8" w14:textId="77777777" w:rsidR="00874F06" w:rsidRPr="00F85CEE" w:rsidRDefault="00874F06" w:rsidP="00874F06">
      <w:pPr>
        <w:rPr>
          <w:rFonts w:ascii="Arial" w:hAnsi="Arial" w:cs="Arial"/>
        </w:rPr>
      </w:pPr>
      <w:r w:rsidRPr="00F85CEE">
        <w:rPr>
          <w:rFonts w:ascii="Arial" w:hAnsi="Arial" w:cs="Arial"/>
          <w:b/>
          <w:bCs/>
        </w:rPr>
        <w:t>How is the EVC Rate calculated?</w:t>
      </w:r>
    </w:p>
    <w:p w14:paraId="4577542F" w14:textId="31840A65" w:rsidR="00DA39C0" w:rsidRDefault="00E259C4" w:rsidP="00874F06">
      <w:pPr>
        <w:rPr>
          <w:rFonts w:ascii="Arial" w:hAnsi="Arial" w:cs="Arial"/>
        </w:rPr>
      </w:pPr>
      <w:bookmarkStart w:id="0" w:name="_Hlk201042046"/>
      <w:r>
        <w:rPr>
          <w:rFonts w:ascii="Arial" w:hAnsi="Arial" w:cs="Arial"/>
        </w:rPr>
        <w:t>T</w:t>
      </w:r>
      <w:r w:rsidR="00874F06" w:rsidRPr="00F85CEE">
        <w:rPr>
          <w:rFonts w:ascii="Arial" w:hAnsi="Arial" w:cs="Arial"/>
        </w:rPr>
        <w:t>he EVC Rate reduce</w:t>
      </w:r>
      <w:r>
        <w:rPr>
          <w:rFonts w:ascii="Arial" w:hAnsi="Arial" w:cs="Arial"/>
        </w:rPr>
        <w:t>s</w:t>
      </w:r>
      <w:r w:rsidR="00874F06" w:rsidRPr="00F85CEE">
        <w:rPr>
          <w:rFonts w:ascii="Arial" w:hAnsi="Arial" w:cs="Arial"/>
        </w:rPr>
        <w:t xml:space="preserve"> </w:t>
      </w:r>
      <w:r w:rsidR="009935B5">
        <w:rPr>
          <w:rFonts w:ascii="Arial" w:hAnsi="Arial" w:cs="Arial"/>
        </w:rPr>
        <w:t>the Retail Transmission Service Rates that participating EV chargin</w:t>
      </w:r>
      <w:r w:rsidR="003318AB">
        <w:rPr>
          <w:rFonts w:ascii="Arial" w:hAnsi="Arial" w:cs="Arial"/>
        </w:rPr>
        <w:t>g</w:t>
      </w:r>
      <w:r w:rsidR="009935B5">
        <w:rPr>
          <w:rFonts w:ascii="Arial" w:hAnsi="Arial" w:cs="Arial"/>
        </w:rPr>
        <w:t xml:space="preserve"> stations </w:t>
      </w:r>
      <w:r w:rsidR="00C46033">
        <w:rPr>
          <w:rFonts w:ascii="Arial" w:hAnsi="Arial" w:cs="Arial"/>
        </w:rPr>
        <w:t xml:space="preserve">would otherwise </w:t>
      </w:r>
      <w:r w:rsidR="009935B5">
        <w:rPr>
          <w:rFonts w:ascii="Arial" w:hAnsi="Arial" w:cs="Arial"/>
        </w:rPr>
        <w:t>pay. Retail Transmission Services Rates are part of the electricity bill.</w:t>
      </w:r>
    </w:p>
    <w:p w14:paraId="062A1559" w14:textId="0D725664" w:rsidR="00874F06" w:rsidRDefault="00874F06" w:rsidP="00874F06">
      <w:pPr>
        <w:rPr>
          <w:rFonts w:ascii="Arial" w:hAnsi="Arial" w:cs="Arial"/>
        </w:rPr>
      </w:pPr>
      <w:r w:rsidRPr="00F85CEE">
        <w:rPr>
          <w:rFonts w:ascii="Arial" w:hAnsi="Arial" w:cs="Arial"/>
        </w:rPr>
        <w:t xml:space="preserve">Participating customers will pay 17% of the </w:t>
      </w:r>
      <w:r w:rsidR="00442663">
        <w:rPr>
          <w:rFonts w:ascii="Arial" w:hAnsi="Arial" w:cs="Arial"/>
        </w:rPr>
        <w:t>Retail Transmission Service Rate</w:t>
      </w:r>
      <w:r w:rsidRPr="00F85CEE">
        <w:rPr>
          <w:rFonts w:ascii="Arial" w:hAnsi="Arial" w:cs="Arial"/>
        </w:rPr>
        <w:t xml:space="preserve"> that other customers in a distributor’s General Service 50 kW to 4,999 kW class</w:t>
      </w:r>
      <w:r w:rsidR="00293E96">
        <w:rPr>
          <w:rFonts w:ascii="Arial" w:hAnsi="Arial" w:cs="Arial"/>
        </w:rPr>
        <w:t xml:space="preserve"> </w:t>
      </w:r>
      <w:r w:rsidRPr="00F85CEE">
        <w:rPr>
          <w:rFonts w:ascii="Arial" w:hAnsi="Arial" w:cs="Arial"/>
        </w:rPr>
        <w:t>will pay.</w:t>
      </w:r>
      <w:r>
        <w:rPr>
          <w:rFonts w:ascii="Arial" w:hAnsi="Arial" w:cs="Arial"/>
        </w:rPr>
        <w:t xml:space="preserve"> </w:t>
      </w:r>
      <w:r w:rsidRPr="006D5B1C">
        <w:rPr>
          <w:rFonts w:ascii="Arial" w:hAnsi="Arial" w:cs="Arial"/>
        </w:rPr>
        <w:t xml:space="preserve">In other words, if a customer’s base </w:t>
      </w:r>
      <w:r w:rsidR="00293E96" w:rsidRPr="006D5B1C">
        <w:rPr>
          <w:rFonts w:ascii="Arial" w:hAnsi="Arial" w:cs="Arial"/>
        </w:rPr>
        <w:t>Retail Transmission Service Rate</w:t>
      </w:r>
      <w:r w:rsidRPr="006D5B1C">
        <w:rPr>
          <w:rFonts w:ascii="Arial" w:hAnsi="Arial" w:cs="Arial"/>
        </w:rPr>
        <w:t xml:space="preserve"> is $100</w:t>
      </w:r>
      <w:r w:rsidR="00692BD1">
        <w:rPr>
          <w:rFonts w:ascii="Arial" w:hAnsi="Arial" w:cs="Arial"/>
        </w:rPr>
        <w:t>/kW</w:t>
      </w:r>
      <w:r w:rsidRPr="006D5B1C">
        <w:rPr>
          <w:rFonts w:ascii="Arial" w:hAnsi="Arial" w:cs="Arial"/>
        </w:rPr>
        <w:t>, it would instead pay $17</w:t>
      </w:r>
      <w:r w:rsidR="00692BD1">
        <w:rPr>
          <w:rFonts w:ascii="Arial" w:hAnsi="Arial" w:cs="Arial"/>
        </w:rPr>
        <w:t>/kW</w:t>
      </w:r>
      <w:r w:rsidRPr="006D5B1C">
        <w:rPr>
          <w:rFonts w:ascii="Arial" w:hAnsi="Arial" w:cs="Arial"/>
        </w:rPr>
        <w:t xml:space="preserve"> under the EVC Rate.</w:t>
      </w:r>
    </w:p>
    <w:p w14:paraId="7EC3F162" w14:textId="55416447" w:rsidR="00874F06" w:rsidRDefault="00874F06" w:rsidP="00874F06">
      <w:pPr>
        <w:rPr>
          <w:rFonts w:ascii="Arial" w:hAnsi="Arial" w:cs="Arial"/>
        </w:rPr>
      </w:pPr>
      <w:r w:rsidRPr="00E73384">
        <w:rPr>
          <w:rFonts w:ascii="Arial" w:hAnsi="Arial" w:cs="Arial"/>
        </w:rPr>
        <w:t xml:space="preserve">The EVC Rate better aligns the </w:t>
      </w:r>
      <w:r w:rsidR="00EB45E3">
        <w:rPr>
          <w:rFonts w:ascii="Arial" w:hAnsi="Arial" w:cs="Arial"/>
        </w:rPr>
        <w:t>Retail Transmission Service Rates</w:t>
      </w:r>
      <w:r w:rsidRPr="00E73384">
        <w:rPr>
          <w:rFonts w:ascii="Arial" w:hAnsi="Arial" w:cs="Arial"/>
        </w:rPr>
        <w:t xml:space="preserve"> paid by participating EV charging</w:t>
      </w:r>
      <w:r>
        <w:rPr>
          <w:rFonts w:ascii="Arial" w:hAnsi="Arial" w:cs="Arial"/>
        </w:rPr>
        <w:t xml:space="preserve"> </w:t>
      </w:r>
      <w:r w:rsidRPr="00E73384">
        <w:rPr>
          <w:rFonts w:ascii="Arial" w:hAnsi="Arial" w:cs="Arial"/>
        </w:rPr>
        <w:t>stations with the transmission system costs incurred to serve</w:t>
      </w:r>
      <w:r>
        <w:rPr>
          <w:rFonts w:ascii="Arial" w:hAnsi="Arial" w:cs="Arial"/>
        </w:rPr>
        <w:t xml:space="preserve"> </w:t>
      </w:r>
      <w:r w:rsidRPr="00E73384">
        <w:rPr>
          <w:rFonts w:ascii="Arial" w:hAnsi="Arial" w:cs="Arial"/>
        </w:rPr>
        <w:t>them.</w:t>
      </w:r>
      <w:bookmarkEnd w:id="0"/>
    </w:p>
    <w:p w14:paraId="073E4748" w14:textId="0909C5A7" w:rsidR="000D0FA7" w:rsidRPr="006D5B1C" w:rsidRDefault="000D0FA7">
      <w:pPr>
        <w:rPr>
          <w:rFonts w:ascii="Arial" w:hAnsi="Arial" w:cs="Arial"/>
          <w:b/>
          <w:bCs/>
        </w:rPr>
      </w:pPr>
      <w:r w:rsidRPr="006D5B1C">
        <w:rPr>
          <w:rFonts w:ascii="Arial" w:hAnsi="Arial" w:cs="Arial"/>
          <w:b/>
          <w:bCs/>
        </w:rPr>
        <w:t>When can I apply for the EVC Rate?</w:t>
      </w:r>
    </w:p>
    <w:p w14:paraId="35616CB8" w14:textId="20E14C1C" w:rsidR="000D0FA7" w:rsidRPr="006D5B1C" w:rsidRDefault="0070781E">
      <w:pPr>
        <w:rPr>
          <w:rFonts w:ascii="Arial" w:hAnsi="Arial" w:cs="Arial"/>
          <w:i/>
          <w:iCs/>
        </w:rPr>
      </w:pPr>
      <w:r w:rsidRPr="006D5B1C">
        <w:rPr>
          <w:rFonts w:ascii="Arial" w:hAnsi="Arial" w:cs="Arial"/>
          <w:i/>
          <w:iCs/>
          <w:highlight w:val="yellow"/>
        </w:rPr>
        <w:t>(Distributor</w:t>
      </w:r>
      <w:r w:rsidR="0049738B" w:rsidRPr="006D5B1C">
        <w:rPr>
          <w:rFonts w:ascii="Arial" w:hAnsi="Arial" w:cs="Arial"/>
          <w:i/>
          <w:iCs/>
          <w:highlight w:val="yellow"/>
        </w:rPr>
        <w:t xml:space="preserve"> to provide information on when their customers can apply. As a reminder, distributors </w:t>
      </w:r>
      <w:r w:rsidR="003A6BD1" w:rsidRPr="006D5B1C">
        <w:rPr>
          <w:rFonts w:ascii="Arial" w:hAnsi="Arial" w:cs="Arial"/>
          <w:i/>
          <w:iCs/>
          <w:highlight w:val="yellow"/>
        </w:rPr>
        <w:t>must begin offering the EVC Rate after their OEB-approved 2026 distribution rates become effective</w:t>
      </w:r>
      <w:r w:rsidR="0027214D" w:rsidRPr="006D5B1C">
        <w:rPr>
          <w:rFonts w:ascii="Arial" w:hAnsi="Arial" w:cs="Arial"/>
          <w:i/>
          <w:iCs/>
          <w:highlight w:val="yellow"/>
        </w:rPr>
        <w:t>. Distributors are also encouraged to make the opt-in forms available at least 90 days in advance of the effective dates of their 2026 rates</w:t>
      </w:r>
      <w:r w:rsidR="002D39CC" w:rsidRPr="006D5B1C">
        <w:rPr>
          <w:rFonts w:ascii="Arial" w:hAnsi="Arial" w:cs="Arial"/>
          <w:i/>
          <w:iCs/>
          <w:highlight w:val="yellow"/>
        </w:rPr>
        <w:t>. Where a distributor receives a complete opt-in form, it must begin charging the customer the EVC Rate at the beginning of the next billing period or as soon as reasonably practic</w:t>
      </w:r>
      <w:r w:rsidR="003B743C" w:rsidRPr="006D5B1C">
        <w:rPr>
          <w:rFonts w:ascii="Arial" w:hAnsi="Arial" w:cs="Arial"/>
          <w:i/>
          <w:iCs/>
          <w:highlight w:val="yellow"/>
        </w:rPr>
        <w:t xml:space="preserve">able thereafter. </w:t>
      </w:r>
      <w:r w:rsidR="006B7298" w:rsidRPr="006D5B1C">
        <w:rPr>
          <w:rFonts w:ascii="Arial" w:hAnsi="Arial" w:cs="Arial"/>
          <w:i/>
          <w:iCs/>
          <w:highlight w:val="yellow"/>
        </w:rPr>
        <w:t>Although distributors should begin accepting opt-in forms before their 2026 rates have been approved, they must not begin charging any customers the EVC Rate until such approval</w:t>
      </w:r>
      <w:r w:rsidR="003A6BD1" w:rsidRPr="006D5B1C">
        <w:rPr>
          <w:rFonts w:ascii="Arial" w:hAnsi="Arial" w:cs="Arial"/>
          <w:i/>
          <w:iCs/>
          <w:highlight w:val="yellow"/>
        </w:rPr>
        <w:t>)</w:t>
      </w:r>
      <w:r w:rsidR="0027214D" w:rsidRPr="006D5B1C">
        <w:rPr>
          <w:rFonts w:ascii="Arial" w:hAnsi="Arial" w:cs="Arial"/>
          <w:i/>
          <w:iCs/>
          <w:highlight w:val="yellow"/>
        </w:rPr>
        <w:t>.</w:t>
      </w:r>
    </w:p>
    <w:p w14:paraId="7C64FAFB" w14:textId="2D1BDDC8" w:rsidR="001F5B27" w:rsidRPr="00F85CEE" w:rsidRDefault="001F5B27" w:rsidP="001F5B27">
      <w:pPr>
        <w:rPr>
          <w:rFonts w:ascii="Arial" w:hAnsi="Arial" w:cs="Arial"/>
          <w:b/>
          <w:bCs/>
        </w:rPr>
      </w:pPr>
      <w:r w:rsidRPr="00F85CEE">
        <w:rPr>
          <w:rFonts w:ascii="Arial" w:hAnsi="Arial" w:cs="Arial"/>
          <w:b/>
          <w:bCs/>
        </w:rPr>
        <w:t>How do I apply for the EVC Rate?</w:t>
      </w:r>
    </w:p>
    <w:p w14:paraId="48FD6173" w14:textId="0CD41860" w:rsidR="001F5B27" w:rsidRPr="00F85CEE" w:rsidRDefault="001F5B27" w:rsidP="001F5B27">
      <w:pPr>
        <w:rPr>
          <w:rFonts w:ascii="Arial" w:hAnsi="Arial" w:cs="Arial"/>
        </w:rPr>
      </w:pPr>
      <w:r w:rsidRPr="00F85CEE">
        <w:rPr>
          <w:rFonts w:ascii="Arial" w:hAnsi="Arial" w:cs="Arial"/>
        </w:rPr>
        <w:lastRenderedPageBreak/>
        <w:t xml:space="preserve">Eligible customers must submit an opt-in form to </w:t>
      </w:r>
      <w:r w:rsidR="00293E96">
        <w:rPr>
          <w:rFonts w:ascii="Arial" w:hAnsi="Arial" w:cs="Arial"/>
        </w:rPr>
        <w:t>us</w:t>
      </w:r>
      <w:r w:rsidRPr="00F85CE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255074">
        <w:rPr>
          <w:rFonts w:ascii="Arial" w:hAnsi="Arial" w:cs="Arial"/>
          <w:i/>
          <w:iCs/>
          <w:highlight w:val="yellow"/>
        </w:rPr>
        <w:t xml:space="preserve">(Distributor </w:t>
      </w:r>
      <w:r>
        <w:rPr>
          <w:rFonts w:ascii="Arial" w:hAnsi="Arial" w:cs="Arial"/>
          <w:i/>
          <w:iCs/>
          <w:highlight w:val="yellow"/>
        </w:rPr>
        <w:t>may</w:t>
      </w:r>
      <w:r w:rsidRPr="00255074">
        <w:rPr>
          <w:rFonts w:ascii="Arial" w:hAnsi="Arial" w:cs="Arial"/>
          <w:i/>
          <w:iCs/>
          <w:highlight w:val="yellow"/>
        </w:rPr>
        <w:t xml:space="preserve"> provide information on how customers can receive opt-in form).</w:t>
      </w:r>
    </w:p>
    <w:p w14:paraId="2766931A" w14:textId="77777777" w:rsidR="00537C0E" w:rsidRDefault="00537C0E" w:rsidP="00537C0E">
      <w:pPr>
        <w:rPr>
          <w:rFonts w:ascii="Arial" w:hAnsi="Arial" w:cs="Arial"/>
          <w:b/>
          <w:bCs/>
        </w:rPr>
      </w:pPr>
      <w:r w:rsidRPr="00F85CEE">
        <w:rPr>
          <w:rFonts w:ascii="Arial" w:hAnsi="Arial" w:cs="Arial"/>
          <w:b/>
          <w:bCs/>
        </w:rPr>
        <w:t>Who is considered a “customer” under the EVC Rate?</w:t>
      </w:r>
    </w:p>
    <w:p w14:paraId="252622B1" w14:textId="1146DDA1" w:rsidR="00537C0E" w:rsidRPr="00F85CEE" w:rsidRDefault="00537C0E" w:rsidP="00537C0E">
      <w:pPr>
        <w:rPr>
          <w:rFonts w:ascii="Arial" w:hAnsi="Arial" w:cs="Arial"/>
          <w:b/>
          <w:bCs/>
        </w:rPr>
      </w:pPr>
      <w:r w:rsidRPr="00F85CEE">
        <w:rPr>
          <w:rFonts w:ascii="Arial" w:hAnsi="Arial" w:cs="Arial"/>
        </w:rPr>
        <w:t xml:space="preserve">A "customer" refers to the owner or operator of an EV charging station whose facilities are connected to or are intended to be connected to an electricity distributor’s distribution system. </w:t>
      </w:r>
      <w:r w:rsidR="00292AD7">
        <w:rPr>
          <w:rFonts w:ascii="Arial" w:hAnsi="Arial" w:cs="Arial"/>
        </w:rPr>
        <w:t xml:space="preserve">A customer is </w:t>
      </w:r>
      <w:r w:rsidR="00241FB0">
        <w:rPr>
          <w:rFonts w:ascii="Arial" w:hAnsi="Arial" w:cs="Arial"/>
        </w:rPr>
        <w:t xml:space="preserve">not </w:t>
      </w:r>
      <w:r w:rsidR="00292AD7">
        <w:rPr>
          <w:rFonts w:ascii="Arial" w:hAnsi="Arial" w:cs="Arial"/>
        </w:rPr>
        <w:t>t</w:t>
      </w:r>
      <w:r w:rsidRPr="00F85CEE">
        <w:rPr>
          <w:rFonts w:ascii="Arial" w:hAnsi="Arial" w:cs="Arial"/>
        </w:rPr>
        <w:t>he end-user of the EV charging service, such as the driver of a vehicle that uses the EV charging station.</w:t>
      </w:r>
    </w:p>
    <w:p w14:paraId="2D66B847" w14:textId="7F2D0B2C" w:rsidR="004109E5" w:rsidRPr="00D91787" w:rsidRDefault="004109E5">
      <w:pPr>
        <w:rPr>
          <w:rFonts w:ascii="Arial" w:hAnsi="Arial" w:cs="Arial"/>
          <w:b/>
          <w:bCs/>
        </w:rPr>
      </w:pPr>
      <w:r w:rsidRPr="00D91787">
        <w:rPr>
          <w:rFonts w:ascii="Arial" w:hAnsi="Arial" w:cs="Arial"/>
          <w:b/>
          <w:bCs/>
        </w:rPr>
        <w:t xml:space="preserve">I have an EV charger </w:t>
      </w:r>
      <w:r w:rsidR="00253B5E">
        <w:rPr>
          <w:rFonts w:ascii="Arial" w:hAnsi="Arial" w:cs="Arial"/>
          <w:b/>
          <w:bCs/>
        </w:rPr>
        <w:t xml:space="preserve">installed </w:t>
      </w:r>
      <w:r w:rsidR="00253B5E" w:rsidRPr="00D91787">
        <w:rPr>
          <w:rFonts w:ascii="Arial" w:hAnsi="Arial" w:cs="Arial"/>
          <w:b/>
          <w:bCs/>
        </w:rPr>
        <w:t>at my home. Am I eligible for the EVC Rate?</w:t>
      </w:r>
    </w:p>
    <w:p w14:paraId="7C78C3E0" w14:textId="70219ECC" w:rsidR="00F2517A" w:rsidRDefault="00253B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No. </w:t>
      </w:r>
      <w:r w:rsidR="00F2517A">
        <w:rPr>
          <w:rFonts w:ascii="Arial" w:hAnsi="Arial" w:cs="Arial"/>
        </w:rPr>
        <w:t>Charging stations that may participate in the EVC Rate include those that are located</w:t>
      </w:r>
      <w:r w:rsidR="00511B40">
        <w:rPr>
          <w:rFonts w:ascii="Arial" w:hAnsi="Arial" w:cs="Arial"/>
        </w:rPr>
        <w:t>:</w:t>
      </w:r>
    </w:p>
    <w:p w14:paraId="20960E5F" w14:textId="301121E5" w:rsidR="00511B40" w:rsidRDefault="00511B40" w:rsidP="00511B4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On or near highways</w:t>
      </w:r>
    </w:p>
    <w:p w14:paraId="79F61638" w14:textId="7DE3E6C1" w:rsidR="00511B40" w:rsidRDefault="00511B40" w:rsidP="00511B4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On the site of a retail establishment, plaza, shopping centre</w:t>
      </w:r>
    </w:p>
    <w:p w14:paraId="45F42FFC" w14:textId="65FC5D07" w:rsidR="00511B40" w:rsidRDefault="00D8223E" w:rsidP="00511B4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On the site of a municipal, university, school or hospital building</w:t>
      </w:r>
    </w:p>
    <w:p w14:paraId="427E26B2" w14:textId="4B137AFB" w:rsidR="00D8223E" w:rsidRDefault="00D8223E" w:rsidP="00511B4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On a site associated with a multi-unit residential building, such as a condominium</w:t>
      </w:r>
    </w:p>
    <w:p w14:paraId="6A8DBD21" w14:textId="4561D862" w:rsidR="00D8223E" w:rsidRPr="00544878" w:rsidRDefault="00D8223E" w:rsidP="0054487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On employee parking lots.</w:t>
      </w:r>
    </w:p>
    <w:p w14:paraId="591D0DBF" w14:textId="33FFF72C" w:rsidR="000B21A4" w:rsidRPr="00D91787" w:rsidRDefault="000B21A4">
      <w:pPr>
        <w:rPr>
          <w:rFonts w:ascii="Arial" w:hAnsi="Arial" w:cs="Arial"/>
          <w:b/>
          <w:bCs/>
        </w:rPr>
      </w:pPr>
      <w:r w:rsidRPr="00D91787">
        <w:rPr>
          <w:rFonts w:ascii="Arial" w:hAnsi="Arial" w:cs="Arial"/>
          <w:b/>
          <w:bCs/>
        </w:rPr>
        <w:t>Wh</w:t>
      </w:r>
      <w:r w:rsidR="00B26CF9" w:rsidRPr="00D91787">
        <w:rPr>
          <w:rFonts w:ascii="Arial" w:hAnsi="Arial" w:cs="Arial"/>
          <w:b/>
          <w:bCs/>
        </w:rPr>
        <w:t xml:space="preserve">y does the EVC Rate not apply to </w:t>
      </w:r>
      <w:r w:rsidR="00740BF4">
        <w:rPr>
          <w:rFonts w:ascii="Arial" w:hAnsi="Arial" w:cs="Arial"/>
          <w:b/>
          <w:bCs/>
        </w:rPr>
        <w:t>customers</w:t>
      </w:r>
      <w:r w:rsidR="00B26CF9" w:rsidRPr="00D91787">
        <w:rPr>
          <w:rFonts w:ascii="Arial" w:hAnsi="Arial" w:cs="Arial"/>
          <w:b/>
          <w:bCs/>
        </w:rPr>
        <w:t xml:space="preserve"> with EV chargers</w:t>
      </w:r>
      <w:r w:rsidR="00740BF4">
        <w:rPr>
          <w:rFonts w:ascii="Arial" w:hAnsi="Arial" w:cs="Arial"/>
          <w:b/>
          <w:bCs/>
        </w:rPr>
        <w:t xml:space="preserve"> installed at home</w:t>
      </w:r>
      <w:r w:rsidR="00B26CF9" w:rsidRPr="00D91787">
        <w:rPr>
          <w:rFonts w:ascii="Arial" w:hAnsi="Arial" w:cs="Arial"/>
          <w:b/>
          <w:bCs/>
        </w:rPr>
        <w:t>?</w:t>
      </w:r>
    </w:p>
    <w:p w14:paraId="6B6547BE" w14:textId="08DC1AB0" w:rsidR="00B26CF9" w:rsidRDefault="001C37E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EVC Rate </w:t>
      </w:r>
      <w:r w:rsidR="00DB6280">
        <w:rPr>
          <w:rFonts w:ascii="Arial" w:hAnsi="Arial" w:cs="Arial"/>
        </w:rPr>
        <w:t xml:space="preserve">aims to fill gaps in </w:t>
      </w:r>
      <w:r w:rsidR="00DB6280" w:rsidRPr="00DB6280">
        <w:rPr>
          <w:rFonts w:ascii="Arial" w:hAnsi="Arial" w:cs="Arial"/>
        </w:rPr>
        <w:t>public</w:t>
      </w:r>
      <w:r w:rsidR="00DB6280">
        <w:rPr>
          <w:rFonts w:ascii="Arial" w:hAnsi="Arial" w:cs="Arial"/>
        </w:rPr>
        <w:t xml:space="preserve"> charging infrastructure in underserved areas. The rate </w:t>
      </w:r>
      <w:r>
        <w:rPr>
          <w:rFonts w:ascii="Arial" w:hAnsi="Arial" w:cs="Arial"/>
        </w:rPr>
        <w:t xml:space="preserve">was designed to reduce the cost of electricity for public EV chargers in areas where demand for the service is only beginning to emerge, making </w:t>
      </w:r>
      <w:r w:rsidR="00CF6E2C">
        <w:rPr>
          <w:rFonts w:ascii="Arial" w:hAnsi="Arial" w:cs="Arial"/>
        </w:rPr>
        <w:t xml:space="preserve">it more economical to build </w:t>
      </w:r>
      <w:r>
        <w:rPr>
          <w:rFonts w:ascii="Arial" w:hAnsi="Arial" w:cs="Arial"/>
        </w:rPr>
        <w:t>charging infrastructure in more communities.</w:t>
      </w:r>
    </w:p>
    <w:p w14:paraId="7F6158F8" w14:textId="77777777" w:rsidR="002D6BAE" w:rsidRPr="00F85CEE" w:rsidRDefault="002D6BAE" w:rsidP="002D6BAE">
      <w:pPr>
        <w:rPr>
          <w:rFonts w:ascii="Arial" w:hAnsi="Arial" w:cs="Arial"/>
        </w:rPr>
      </w:pPr>
      <w:r w:rsidRPr="00F85CEE">
        <w:rPr>
          <w:rFonts w:ascii="Arial" w:hAnsi="Arial" w:cs="Arial"/>
          <w:b/>
          <w:bCs/>
        </w:rPr>
        <w:t xml:space="preserve">Where can I find more information about the EVC Rate? </w:t>
      </w:r>
    </w:p>
    <w:p w14:paraId="171F6E6A" w14:textId="3EBDD33C" w:rsidR="00B95D30" w:rsidRPr="009C495D" w:rsidRDefault="00CA59F1" w:rsidP="00F85CEE">
      <w:pPr>
        <w:rPr>
          <w:rFonts w:ascii="Arial" w:hAnsi="Arial" w:cs="Arial"/>
        </w:rPr>
      </w:pPr>
      <w:r w:rsidRPr="002C252D">
        <w:rPr>
          <w:rFonts w:ascii="Arial" w:hAnsi="Arial" w:cs="Arial"/>
          <w:i/>
          <w:iCs/>
          <w:highlight w:val="yellow"/>
        </w:rPr>
        <w:t>(</w:t>
      </w:r>
      <w:r w:rsidR="00C006F2" w:rsidRPr="002C252D">
        <w:rPr>
          <w:rFonts w:ascii="Arial" w:hAnsi="Arial" w:cs="Arial"/>
          <w:i/>
          <w:iCs/>
          <w:highlight w:val="yellow"/>
        </w:rPr>
        <w:t>Distributor may point customers to any material they have about the EVC Rate, such as a webpage)</w:t>
      </w:r>
      <w:r w:rsidR="000D5995" w:rsidRPr="002C252D">
        <w:rPr>
          <w:rFonts w:ascii="Arial" w:hAnsi="Arial" w:cs="Arial"/>
          <w:i/>
          <w:iCs/>
          <w:highlight w:val="yellow"/>
        </w:rPr>
        <w:t>.</w:t>
      </w:r>
      <w:r w:rsidR="000E3E41">
        <w:rPr>
          <w:rFonts w:ascii="Arial" w:hAnsi="Arial" w:cs="Arial"/>
        </w:rPr>
        <w:t xml:space="preserve"> </w:t>
      </w:r>
      <w:r w:rsidR="002D6BAE" w:rsidRPr="00F85CEE">
        <w:rPr>
          <w:rFonts w:ascii="Arial" w:hAnsi="Arial" w:cs="Arial"/>
        </w:rPr>
        <w:t xml:space="preserve">More information about the EVC Rate can be found in the </w:t>
      </w:r>
      <w:r w:rsidR="002C252D">
        <w:rPr>
          <w:rFonts w:ascii="Arial" w:hAnsi="Arial" w:cs="Arial"/>
        </w:rPr>
        <w:t xml:space="preserve">OEB’s </w:t>
      </w:r>
      <w:hyperlink r:id="rId8" w:history="1">
        <w:r w:rsidR="002D6BAE" w:rsidRPr="00625A2E">
          <w:rPr>
            <w:rStyle w:val="Hyperlink"/>
            <w:rFonts w:ascii="Arial" w:hAnsi="Arial" w:cs="Arial"/>
          </w:rPr>
          <w:t xml:space="preserve">EVC Rate </w:t>
        </w:r>
        <w:r w:rsidR="00625A2E" w:rsidRPr="00625A2E">
          <w:rPr>
            <w:rStyle w:val="Hyperlink"/>
            <w:rFonts w:ascii="Arial" w:hAnsi="Arial" w:cs="Arial"/>
          </w:rPr>
          <w:t>Overview Final Report</w:t>
        </w:r>
      </w:hyperlink>
      <w:r w:rsidR="005B12FC">
        <w:rPr>
          <w:rFonts w:ascii="Arial" w:hAnsi="Arial" w:cs="Arial"/>
        </w:rPr>
        <w:t>.</w:t>
      </w:r>
    </w:p>
    <w:sectPr w:rsidR="00B95D30" w:rsidRPr="009C49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190ADE"/>
    <w:multiLevelType w:val="hybridMultilevel"/>
    <w:tmpl w:val="D340E526"/>
    <w:lvl w:ilvl="0" w:tplc="C0AAF42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E23A23"/>
    <w:multiLevelType w:val="hybridMultilevel"/>
    <w:tmpl w:val="782E0226"/>
    <w:lvl w:ilvl="0" w:tplc="518E4F1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4720730">
    <w:abstractNumId w:val="1"/>
  </w:num>
  <w:num w:numId="2" w16cid:durableId="1351838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95D"/>
    <w:rsid w:val="000031F2"/>
    <w:rsid w:val="00005853"/>
    <w:rsid w:val="00011E67"/>
    <w:rsid w:val="00025C4B"/>
    <w:rsid w:val="000438CA"/>
    <w:rsid w:val="00066346"/>
    <w:rsid w:val="00074E36"/>
    <w:rsid w:val="000A1475"/>
    <w:rsid w:val="000B21A4"/>
    <w:rsid w:val="000D0FA7"/>
    <w:rsid w:val="000D5995"/>
    <w:rsid w:val="000E3E41"/>
    <w:rsid w:val="000E53C3"/>
    <w:rsid w:val="001C37E3"/>
    <w:rsid w:val="001D57C1"/>
    <w:rsid w:val="001E112F"/>
    <w:rsid w:val="001F5B27"/>
    <w:rsid w:val="001F6E83"/>
    <w:rsid w:val="0020415A"/>
    <w:rsid w:val="00204E45"/>
    <w:rsid w:val="00217461"/>
    <w:rsid w:val="00227B62"/>
    <w:rsid w:val="00241FB0"/>
    <w:rsid w:val="00253B5E"/>
    <w:rsid w:val="00255074"/>
    <w:rsid w:val="0027214D"/>
    <w:rsid w:val="002765BB"/>
    <w:rsid w:val="00292AD7"/>
    <w:rsid w:val="00292C10"/>
    <w:rsid w:val="00293E96"/>
    <w:rsid w:val="002A2365"/>
    <w:rsid w:val="002C252D"/>
    <w:rsid w:val="002C7E93"/>
    <w:rsid w:val="002D39CC"/>
    <w:rsid w:val="002D6BAE"/>
    <w:rsid w:val="002D738D"/>
    <w:rsid w:val="003241C8"/>
    <w:rsid w:val="003318AB"/>
    <w:rsid w:val="003345C3"/>
    <w:rsid w:val="003426CF"/>
    <w:rsid w:val="00346AA6"/>
    <w:rsid w:val="00360FCD"/>
    <w:rsid w:val="00387366"/>
    <w:rsid w:val="0039646F"/>
    <w:rsid w:val="003A6BD1"/>
    <w:rsid w:val="003B743C"/>
    <w:rsid w:val="003E0231"/>
    <w:rsid w:val="0040143B"/>
    <w:rsid w:val="004109E5"/>
    <w:rsid w:val="00442663"/>
    <w:rsid w:val="004447D7"/>
    <w:rsid w:val="0045671A"/>
    <w:rsid w:val="00471CF7"/>
    <w:rsid w:val="00477330"/>
    <w:rsid w:val="0049738B"/>
    <w:rsid w:val="004A19DE"/>
    <w:rsid w:val="004B3E4A"/>
    <w:rsid w:val="004E124F"/>
    <w:rsid w:val="00511B40"/>
    <w:rsid w:val="00537C0E"/>
    <w:rsid w:val="00544878"/>
    <w:rsid w:val="00574A4C"/>
    <w:rsid w:val="00583F94"/>
    <w:rsid w:val="005B12FC"/>
    <w:rsid w:val="005F362D"/>
    <w:rsid w:val="005F51AD"/>
    <w:rsid w:val="00611FBD"/>
    <w:rsid w:val="00625A2E"/>
    <w:rsid w:val="00644B9A"/>
    <w:rsid w:val="00657520"/>
    <w:rsid w:val="0068416D"/>
    <w:rsid w:val="00691F80"/>
    <w:rsid w:val="00692BD1"/>
    <w:rsid w:val="006B7298"/>
    <w:rsid w:val="006C3B4D"/>
    <w:rsid w:val="006C6F00"/>
    <w:rsid w:val="006D5461"/>
    <w:rsid w:val="006D5B1C"/>
    <w:rsid w:val="006D7126"/>
    <w:rsid w:val="0070781E"/>
    <w:rsid w:val="00740BF4"/>
    <w:rsid w:val="007462AA"/>
    <w:rsid w:val="007C54BF"/>
    <w:rsid w:val="007D1272"/>
    <w:rsid w:val="00821749"/>
    <w:rsid w:val="008679CF"/>
    <w:rsid w:val="0087380F"/>
    <w:rsid w:val="00874E31"/>
    <w:rsid w:val="00874F06"/>
    <w:rsid w:val="00875DEA"/>
    <w:rsid w:val="008B04BA"/>
    <w:rsid w:val="008B7213"/>
    <w:rsid w:val="008D491E"/>
    <w:rsid w:val="008E137D"/>
    <w:rsid w:val="008E57C5"/>
    <w:rsid w:val="00982606"/>
    <w:rsid w:val="009935B5"/>
    <w:rsid w:val="009B5020"/>
    <w:rsid w:val="009C1E14"/>
    <w:rsid w:val="009C495D"/>
    <w:rsid w:val="009D3F13"/>
    <w:rsid w:val="00A012FD"/>
    <w:rsid w:val="00A03AD2"/>
    <w:rsid w:val="00A14FB4"/>
    <w:rsid w:val="00A37CBD"/>
    <w:rsid w:val="00A40003"/>
    <w:rsid w:val="00A602B4"/>
    <w:rsid w:val="00AA79B5"/>
    <w:rsid w:val="00AF03C6"/>
    <w:rsid w:val="00B26CF9"/>
    <w:rsid w:val="00B32C95"/>
    <w:rsid w:val="00B34B0B"/>
    <w:rsid w:val="00B34D4E"/>
    <w:rsid w:val="00B4296B"/>
    <w:rsid w:val="00B5351A"/>
    <w:rsid w:val="00B728D1"/>
    <w:rsid w:val="00B95D30"/>
    <w:rsid w:val="00BA4FB7"/>
    <w:rsid w:val="00BB5198"/>
    <w:rsid w:val="00BC0FCC"/>
    <w:rsid w:val="00BE39A8"/>
    <w:rsid w:val="00BE611E"/>
    <w:rsid w:val="00C006F2"/>
    <w:rsid w:val="00C46033"/>
    <w:rsid w:val="00C8616F"/>
    <w:rsid w:val="00CA59F1"/>
    <w:rsid w:val="00CC5E2A"/>
    <w:rsid w:val="00CC7F17"/>
    <w:rsid w:val="00CF6579"/>
    <w:rsid w:val="00CF6E2C"/>
    <w:rsid w:val="00D162A2"/>
    <w:rsid w:val="00D43A19"/>
    <w:rsid w:val="00D64393"/>
    <w:rsid w:val="00D77474"/>
    <w:rsid w:val="00D8223E"/>
    <w:rsid w:val="00D91787"/>
    <w:rsid w:val="00DA39C0"/>
    <w:rsid w:val="00DB2924"/>
    <w:rsid w:val="00DB6280"/>
    <w:rsid w:val="00DB6343"/>
    <w:rsid w:val="00DD44CF"/>
    <w:rsid w:val="00DE7407"/>
    <w:rsid w:val="00E259C4"/>
    <w:rsid w:val="00E32F98"/>
    <w:rsid w:val="00E3682A"/>
    <w:rsid w:val="00E73384"/>
    <w:rsid w:val="00E7463E"/>
    <w:rsid w:val="00EB45E3"/>
    <w:rsid w:val="00F11628"/>
    <w:rsid w:val="00F17773"/>
    <w:rsid w:val="00F2517A"/>
    <w:rsid w:val="00F821B9"/>
    <w:rsid w:val="00F85CEE"/>
    <w:rsid w:val="00FA2F96"/>
    <w:rsid w:val="00FC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D0D43"/>
  <w15:chartTrackingRefBased/>
  <w15:docId w15:val="{4CF7A5DE-5708-4B86-9FAC-8CF8F5304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49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49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49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49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49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49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49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49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49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49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49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49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49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49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49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49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49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49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49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49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49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49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49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49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49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49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49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49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495D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2550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50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50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50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507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6634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6634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77330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BA4FB7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B34B0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5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ds.oeb.ca/CMWebDrawer/Record/893895/File/documen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970495-c289-4ccc-bec2-742a58e2a93c">
      <Terms xmlns="http://schemas.microsoft.com/office/infopath/2007/PartnerControls"/>
    </lcf76f155ced4ddcb4097134ff3c332f>
    <TaxCatchAll xmlns="47813a0d-714f-4ccc-a067-dbe52dfb20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C41DCF2DB82C4284B0C301D72AC2D9" ma:contentTypeVersion="13" ma:contentTypeDescription="Create a new document." ma:contentTypeScope="" ma:versionID="36fc203d17beca4765532c18770e3b07">
  <xsd:schema xmlns:xsd="http://www.w3.org/2001/XMLSchema" xmlns:xs="http://www.w3.org/2001/XMLSchema" xmlns:p="http://schemas.microsoft.com/office/2006/metadata/properties" xmlns:ns2="a1970495-c289-4ccc-bec2-742a58e2a93c" xmlns:ns3="47813a0d-714f-4ccc-a067-dbe52dfb20a5" targetNamespace="http://schemas.microsoft.com/office/2006/metadata/properties" ma:root="true" ma:fieldsID="df960565e8b985b3b8af653924c0162e" ns2:_="" ns3:_="">
    <xsd:import namespace="a1970495-c289-4ccc-bec2-742a58e2a93c"/>
    <xsd:import namespace="47813a0d-714f-4ccc-a067-dbe52dfb20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70495-c289-4ccc-bec2-742a58e2a9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6fef157-3fa8-492c-b9fa-e38244047c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813a0d-714f-4ccc-a067-dbe52dfb2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41c34c6-c54e-4238-84a0-465bccf20370}" ma:internalName="TaxCatchAll" ma:showField="CatchAllData" ma:web="47813a0d-714f-4ccc-a067-dbe52dfb2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9DF4A6-D655-431B-96DC-8649F06E0EE5}">
  <ds:schemaRefs>
    <ds:schemaRef ds:uri="a1970495-c289-4ccc-bec2-742a58e2a93c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47813a0d-714f-4ccc-a067-dbe52dfb20a5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C75B0F8-7785-4669-809C-62DB08EE93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F8ABDE-F06F-43A9-9075-1740CCD694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970495-c289-4ccc-bec2-742a58e2a93c"/>
    <ds:schemaRef ds:uri="47813a0d-714f-4ccc-a067-dbe52dfb20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666</Words>
  <Characters>3462</Characters>
  <Application>Microsoft Office Word</Application>
  <DocSecurity>0</DocSecurity>
  <Lines>104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Links>
    <vt:vector size="30" baseType="variant">
      <vt:variant>
        <vt:i4>8323132</vt:i4>
      </vt:variant>
      <vt:variant>
        <vt:i4>0</vt:i4>
      </vt:variant>
      <vt:variant>
        <vt:i4>0</vt:i4>
      </vt:variant>
      <vt:variant>
        <vt:i4>5</vt:i4>
      </vt:variant>
      <vt:variant>
        <vt:lpwstr>https://www.rds.oeb.ca/CMWebDrawer/Record/893895/File/document</vt:lpwstr>
      </vt:variant>
      <vt:variant>
        <vt:lpwstr/>
      </vt:variant>
      <vt:variant>
        <vt:i4>3801136</vt:i4>
      </vt:variant>
      <vt:variant>
        <vt:i4>9</vt:i4>
      </vt:variant>
      <vt:variant>
        <vt:i4>0</vt:i4>
      </vt:variant>
      <vt:variant>
        <vt:i4>5</vt:i4>
      </vt:variant>
      <vt:variant>
        <vt:lpwstr>https://news.ontario.ca/en/release/1004515/ontario-exploring-options-to-reduce-electricity-rates-for-public-ev-chargers</vt:lpwstr>
      </vt:variant>
      <vt:variant>
        <vt:lpwstr/>
      </vt:variant>
      <vt:variant>
        <vt:i4>2162748</vt:i4>
      </vt:variant>
      <vt:variant>
        <vt:i4>6</vt:i4>
      </vt:variant>
      <vt:variant>
        <vt:i4>0</vt:i4>
      </vt:variant>
      <vt:variant>
        <vt:i4>5</vt:i4>
      </vt:variant>
      <vt:variant>
        <vt:lpwstr>https://www.oeb.ca/sites/default/files/letter-of-direction-from-the-Minister-of-Energy-20231129.pdf</vt:lpwstr>
      </vt:variant>
      <vt:variant>
        <vt:lpwstr/>
      </vt:variant>
      <vt:variant>
        <vt:i4>196667</vt:i4>
      </vt:variant>
      <vt:variant>
        <vt:i4>3</vt:i4>
      </vt:variant>
      <vt:variant>
        <vt:i4>0</vt:i4>
      </vt:variant>
      <vt:variant>
        <vt:i4>5</vt:i4>
      </vt:variant>
      <vt:variant>
        <vt:lpwstr>mailto:Bearemi@oeb.ca</vt:lpwstr>
      </vt:variant>
      <vt:variant>
        <vt:lpwstr/>
      </vt:variant>
      <vt:variant>
        <vt:i4>917554</vt:i4>
      </vt:variant>
      <vt:variant>
        <vt:i4>0</vt:i4>
      </vt:variant>
      <vt:variant>
        <vt:i4>0</vt:i4>
      </vt:variant>
      <vt:variant>
        <vt:i4>5</vt:i4>
      </vt:variant>
      <vt:variant>
        <vt:lpwstr>mailto:Pietrean@oeb.ca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Brautigam</dc:creator>
  <cp:keywords/>
  <dc:description/>
  <cp:lastModifiedBy>Michael Beare</cp:lastModifiedBy>
  <cp:revision>2</cp:revision>
  <dcterms:created xsi:type="dcterms:W3CDTF">2025-09-18T14:16:00Z</dcterms:created>
  <dcterms:modified xsi:type="dcterms:W3CDTF">2025-09-18T14:16:00Z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0x010100EDC41DCF2DB82C4284B0C301D72AC2D9</vt:lpwstr>
  </property>
  <property fmtid="{D5CDD505-2E9C-101B-9397-08002B2CF9AE}" pid="3" name="MediaServiceImageTags">
    <vt:lpwstr/>
  </property>
</Properties>
</file>